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26-278</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401</w:t>
      </w:r>
    </w:p>
    <w:p>
      <w:pPr>
        <w:spacing w:before="0" w:after="0" w:line="480"/>
        <w:ind w:left="120"/>
        <w:jc w:val="center"/>
      </w:pPr>
      <w:r>
        <w:rPr>
          <w:rFonts w:ascii="Times New Roman" w:hAnsi="Times New Roman"/>
          <w:b w:val="false"/>
          <w:i w:val="false"/>
          <w:color w:val="000000"/>
          <w:sz w:val="24"/>
        </w:rPr>
        <w:t>“Peace Officers’ Retirement, Accident, and Disability System—Administrative Procedures”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97A.5</w:t>
      </w:r>
    </w:p>
    <w:p>
      <w:pPr>
        <w:spacing w:before="0" w:after="0" w:line="480"/>
        <w:ind w:left="120"/>
        <w:jc w:val="both"/>
      </w:pPr>
      <w:r>
        <w:rPr>
          <w:rFonts w:ascii="Times New Roman" w:hAnsi="Times New Roman"/>
          <w:b w:val="false"/>
          <w:i w:val="false"/>
          <w:color w:val="000000"/>
          <w:sz w:val="24"/>
        </w:rPr>
        <w:t>State or federal law(s) implemented by the rulemaking: Iowa Code chapter 97A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9:30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Public Safety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Board of Trustees of the Public Safety Department’s Peace Officers’ Retirement, Accident, and Disability System (PORS) proposes to rescind Chapter 401 and adopt a new chapter in lieu thereof. The purpose of this proposed chapter is to outline administrative procedures related to the PORS.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Active and retired members of the PORS will be affected.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Active and retired members of the PORS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 significant impact or costs will be incurred by the public or by active or retired members of the PORS. This proposed chapter only outlines administrative procedures related to the PORS.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 significant impact or costs will be incurred by the public or by active or retired members of the PORS. This proposed chapter only outlines administrative procedures related to the PORS.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or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As there are no costs to the public or to active or retired members of the PORS to comply, the benefit is achieved through clarity of understanding administrative procedures related to the PORS.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401</w:t>
      </w:r>
    </w:p>
    <w:p>
      <w:pPr>
        <w:spacing w:before="0" w:after="0" w:line="480"/>
        <w:ind w:left="120"/>
        <w:jc w:val="center"/>
      </w:pPr>
      <w:r>
        <w:rPr>
          <w:rFonts w:ascii="Times New Roman" w:hAnsi="Times New Roman"/>
          <w:b w:val="false"/>
          <w:i w:val="false"/>
          <w:color w:val="000000"/>
          <w:sz w:val="21"/>
        </w:rPr>
        <w:t xml:space="preserve">PEACE OFFICERS’ RETIREMENT, ACCIDENT, AND DISABILITY </w:t>
      </w:r>
      <w:r>
        <w:br/>
      </w:r>
      <w:r>
        <w:rPr>
          <w:rFonts w:ascii="Times New Roman" w:hAnsi="Times New Roman"/>
          <w:b w:val="false"/>
          <w:i w:val="false"/>
          <w:color w:val="000000"/>
          <w:sz w:val="21"/>
        </w:rPr>
        <w:t>SYSTEM—ADMINISTRATIVE PROCEDURES</w:t>
      </w:r>
    </w:p>
    <w:p>
      <w:pPr>
        <w:spacing w:before="0" w:after="0" w:line="480"/>
        <w:ind w:left="120"/>
        <w:jc w:val="both"/>
      </w:pPr>
      <w:r>
        <w:rPr>
          <w:rFonts w:ascii="Times New Roman" w:hAnsi="Times New Roman"/>
          <w:b/>
          <w:i w:val="false"/>
          <w:color w:val="000000"/>
          <w:sz w:val="24"/>
        </w:rPr>
        <w:t>661—401.1</w:t>
      </w:r>
      <w:r>
        <w:rPr>
          <w:rFonts w:ascii="Times New Roman" w:hAnsi="Times New Roman"/>
          <w:b/>
          <w:i w:val="false"/>
          <w:color w:val="000000"/>
          <w:sz w:val="24"/>
        </w:rPr>
        <w:t xml:space="preserve">(97A) </w:t>
      </w:r>
      <w:r>
        <w:rPr>
          <w:rFonts w:ascii="Times New Roman" w:hAnsi="Times New Roman"/>
          <w:b/>
          <w:i w:val="false"/>
          <w:color w:val="000000"/>
          <w:sz w:val="24"/>
        </w:rPr>
        <w:t xml:space="preserve">Applications. </w:t>
      </w:r>
      <w:r>
        <w:rPr>
          <w:rFonts w:ascii="Times New Roman" w:hAnsi="Times New Roman"/>
          <w:b w:val="false"/>
          <w:i w:val="false"/>
          <w:color w:val="000000"/>
          <w:sz w:val="24"/>
        </w:rPr>
        <w:t xml:space="preserve">Applications for benefits under Iowa Code chapter </w:t>
      </w:r>
      <w:hyperlink r:id="rId5">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 xml:space="preserve"> shall be filed with the secretary on forms provided by the secretary. Applications for service retirement shall be made not more than 90 days nor less than 30 days in advance of the date of retirement. Applications for service retirement, ordinary disability or accidental disability shall be reviewed by the secretary for completeness and then forwarded to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401.1(1)</w:t>
      </w:r>
      <w:r>
        <w:rPr>
          <w:rFonts w:ascii="Times New Roman" w:hAnsi="Times New Roman"/>
          <w:b w:val="false"/>
          <w:i w:val="false"/>
          <w:color w:val="000000"/>
          <w:sz w:val="24"/>
        </w:rPr>
        <w:t> </w:t>
      </w:r>
      <w:r>
        <w:rPr>
          <w:rFonts w:ascii="Times New Roman" w:hAnsi="Times New Roman"/>
          <w:b w:val="false"/>
          <w:i/>
          <w:color w:val="000000"/>
          <w:sz w:val="24"/>
        </w:rPr>
        <w:t xml:space="preserve">Manner of review for ordinary or accidental disability. </w:t>
      </w:r>
      <w:r>
        <w:rPr>
          <w:rFonts w:ascii="Times New Roman" w:hAnsi="Times New Roman"/>
          <w:b w:val="false"/>
          <w:i w:val="false"/>
          <w:color w:val="000000"/>
          <w:sz w:val="24"/>
        </w:rPr>
        <w:t>The secretary shall compile the following materials, if available and applicable, for the board’s review of a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materials provided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available medical information in the possession of the board or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information available through any workers’ compensation claims made by the applicant;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Recommendations and reports from the medical board.</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This subrule does not impose a responsibility on the secretary to discover documents or evidence not in the secretary’s possession. It is only intended to outline the types of evidence the secretary should provide to the board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401.1(2)</w:t>
      </w:r>
      <w:r>
        <w:rPr>
          <w:rFonts w:ascii="Times New Roman" w:hAnsi="Times New Roman"/>
          <w:b w:val="false"/>
          <w:i w:val="false"/>
          <w:color w:val="000000"/>
          <w:sz w:val="24"/>
        </w:rPr>
        <w:t> </w:t>
      </w:r>
      <w:r>
        <w:rPr>
          <w:rFonts w:ascii="Times New Roman" w:hAnsi="Times New Roman"/>
          <w:b w:val="false"/>
          <w:i/>
          <w:color w:val="000000"/>
          <w:sz w:val="24"/>
        </w:rPr>
        <w:t xml:space="preserve">Commissioner’s application. </w:t>
      </w:r>
      <w:r>
        <w:rPr>
          <w:rFonts w:ascii="Times New Roman" w:hAnsi="Times New Roman"/>
          <w:b w:val="false"/>
          <w:i w:val="false"/>
          <w:color w:val="000000"/>
          <w:sz w:val="24"/>
        </w:rPr>
        <w:t>The commissioner may file an application for ordinary or accidental disability on behalf of a member in service. The secretary shall review such applications in the same manner as those filed by a member. The fact that the commissioner has filed an application on a member’s behalf shall not prevent the commissioner or the board from denying the application. All applications for accidental disability benefits shall be deemed cross-filed by the commissioner for the purpose of considering disability benefits. Nothing in this rule prevents the board from denying any application.</w:t>
      </w:r>
    </w:p>
    <w:p>
      <w:pPr>
        <w:spacing w:before="0" w:after="0" w:line="480"/>
        <w:ind w:left="120"/>
        <w:jc w:val="both"/>
      </w:pPr>
      <w:r>
        <w:rPr>
          <w:rFonts w:ascii="Times New Roman" w:hAnsi="Times New Roman"/>
          <w:b/>
          <w:i w:val="false"/>
          <w:color w:val="000000"/>
          <w:sz w:val="24"/>
        </w:rPr>
        <w:t>661—401.2</w:t>
      </w:r>
      <w:r>
        <w:rPr>
          <w:rFonts w:ascii="Times New Roman" w:hAnsi="Times New Roman"/>
          <w:b/>
          <w:i w:val="false"/>
          <w:color w:val="000000"/>
          <w:sz w:val="24"/>
        </w:rPr>
        <w:t xml:space="preserve">(97A) </w:t>
      </w:r>
      <w:r>
        <w:rPr>
          <w:rFonts w:ascii="Times New Roman" w:hAnsi="Times New Roman"/>
          <w:b/>
          <w:i w:val="false"/>
          <w:color w:val="000000"/>
          <w:sz w:val="24"/>
        </w:rPr>
        <w:t xml:space="preserve">Determination on initial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401.2(1)</w:t>
      </w:r>
      <w:r>
        <w:rPr>
          <w:rFonts w:ascii="Times New Roman" w:hAnsi="Times New Roman"/>
          <w:b w:val="false"/>
          <w:i w:val="false"/>
          <w:color w:val="000000"/>
          <w:sz w:val="24"/>
        </w:rPr>
        <w:t> </w:t>
      </w:r>
      <w:r>
        <w:rPr>
          <w:rFonts w:ascii="Times New Roman" w:hAnsi="Times New Roman"/>
          <w:b w:val="false"/>
          <w:i/>
          <w:color w:val="000000"/>
          <w:sz w:val="24"/>
        </w:rPr>
        <w:t xml:space="preserve">Board approval. </w:t>
      </w:r>
      <w:r>
        <w:rPr>
          <w:rFonts w:ascii="Times New Roman" w:hAnsi="Times New Roman"/>
          <w:b w:val="false"/>
          <w:i w:val="false"/>
          <w:color w:val="000000"/>
          <w:sz w:val="24"/>
        </w:rPr>
        <w:t>The board may approve or deny the application as presented or may direct the applicant to provide further medical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401.2(2)</w:t>
      </w:r>
      <w:r>
        <w:rPr>
          <w:rFonts w:ascii="Times New Roman" w:hAnsi="Times New Roman"/>
          <w:b w:val="false"/>
          <w:i w:val="false"/>
          <w:color w:val="000000"/>
          <w:sz w:val="24"/>
        </w:rPr>
        <w:t> </w:t>
      </w:r>
      <w:r>
        <w:rPr>
          <w:rFonts w:ascii="Times New Roman" w:hAnsi="Times New Roman"/>
          <w:b w:val="false"/>
          <w:i/>
          <w:color w:val="000000"/>
          <w:sz w:val="24"/>
        </w:rPr>
        <w:t xml:space="preserve">Denial and appeal. </w:t>
      </w:r>
      <w:r>
        <w:rPr>
          <w:rFonts w:ascii="Times New Roman" w:hAnsi="Times New Roman"/>
          <w:b w:val="false"/>
          <w:i w:val="false"/>
          <w:color w:val="000000"/>
          <w:sz w:val="24"/>
        </w:rPr>
        <w:t>A decision by the board to deny the application may be appealed by the applicant. Written notice of a denial shall be provided to the applicant by certified mail. The written notice shall disclose the applicant’s right to appeal, the procedure for filing an appeal, and the deadline for filing an appeal. An appeal must be filed in writing with the secretary within 30 calendar days after the applicant receives written notice of the decision of the board. The board may extend the deadline for filing an appeal. At a minimum, an appeal shall include a short and concise statement of the basis for the appeal.</w:t>
      </w:r>
    </w:p>
    <w:p>
      <w:pPr>
        <w:spacing w:before="0" w:after="0" w:line="480"/>
        <w:ind w:left="120"/>
        <w:jc w:val="both"/>
      </w:pPr>
      <w:r>
        <w:rPr>
          <w:rFonts w:ascii="Times New Roman" w:hAnsi="Times New Roman"/>
          <w:b/>
          <w:i w:val="false"/>
          <w:color w:val="000000"/>
          <w:sz w:val="24"/>
        </w:rPr>
        <w:t>661—401.3</w:t>
      </w:r>
      <w:r>
        <w:rPr>
          <w:rFonts w:ascii="Times New Roman" w:hAnsi="Times New Roman"/>
          <w:b/>
          <w:i w:val="false"/>
          <w:color w:val="000000"/>
          <w:sz w:val="24"/>
        </w:rPr>
        <w:t xml:space="preserve">(97A) </w:t>
      </w:r>
      <w:r>
        <w:rPr>
          <w:rFonts w:ascii="Times New Roman" w:hAnsi="Times New Roman"/>
          <w:b/>
          <w:i w:val="false"/>
          <w:color w:val="000000"/>
          <w:sz w:val="24"/>
        </w:rPr>
        <w:t xml:space="preserve">Applications for reimbursement for medical attention. </w:t>
      </w:r>
      <w:r>
        <w:rPr>
          <w:rFonts w:ascii="Times New Roman" w:hAnsi="Times New Roman"/>
          <w:b w:val="false"/>
          <w:i w:val="false"/>
          <w:color w:val="000000"/>
          <w:sz w:val="24"/>
        </w:rPr>
        <w:t xml:space="preserve">Member beneficiaries may make application for reimbursement of the costs of medical attention as defined in rule </w:t>
      </w:r>
      <w:hyperlink r:id="rId6">
        <w:r>
          <w:rPr>
            <w:rStyle w:val="Hyperlink"/>
            <w:rFonts w:ascii="Times New Roman" w:hAnsi="Times New Roman"/>
            <w:b w:val="false"/>
            <w:i w:val="false"/>
            <w:color w:val="000000"/>
            <w:sz w:val="24"/>
          </w:rPr>
          <w:t>661—400.2</w:t>
        </w:r>
      </w:hyperlink>
      <w:r>
        <w:rPr>
          <w:rFonts w:ascii="Times New Roman" w:hAnsi="Times New Roman"/>
          <w:b w:val="false"/>
          <w:i w:val="false"/>
          <w:color w:val="000000"/>
          <w:sz w:val="24"/>
        </w:rPr>
        <w:t>(97A). This rule provides for the requirements of making application for reimbursement, the process for review and disposition of the application, and payment of approved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w:t>
      </w:r>
      <w:r>
        <w:rPr>
          <w:rFonts w:ascii="Times New Roman" w:hAnsi="Times New Roman"/>
          <w:b w:val="false"/>
          <w:i w:val="false"/>
          <w:color w:val="000000"/>
          <w:sz w:val="24"/>
        </w:rPr>
        <w:t> </w:t>
      </w:r>
      <w:r>
        <w:rPr>
          <w:rFonts w:ascii="Times New Roman" w:hAnsi="Times New Roman"/>
          <w:b w:val="false"/>
          <w:i/>
          <w:color w:val="000000"/>
          <w:sz w:val="24"/>
        </w:rPr>
        <w:t xml:space="preserve">Making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 reimbursement must be filed on a form provided by the secretary within 12 months of the member beneficiary’s receiving treatment or incurring a cost for medical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event there is a dispute with an insurance company regarding covered expenses, to remain eligible for reimbursement, the member beneficiary must file a request for extension, on a form provided by the secretary, if resolution of the dispute is expected to exceed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shall only be reimbursed if the member beneficiary is retired as a result of an injury, illness or exposure occurring while in the performance of duty and is receiving a benefit as provided in Iowa Code section </w:t>
      </w:r>
      <w:hyperlink r:id="rId7">
        <w:r>
          <w:rPr>
            <w:rStyle w:val="Hyperlink"/>
            <w:rFonts w:ascii="Times New Roman" w:hAnsi="Times New Roman"/>
            <w:b w:val="false"/>
            <w:i w:val="false"/>
            <w:color w:val="000000"/>
            <w:sz w:val="24"/>
          </w:rPr>
          <w:t>97A.6(6)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Expenses shall be reimbursed only if the member beneficiary received medical attention for a condition with direct correlation to the disabling condition, the costs of which were not covered by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system shall not reimburse for insurance premiums.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401.3(2)</w:t>
      </w:r>
      <w:r>
        <w:rPr>
          <w:rFonts w:ascii="Times New Roman" w:hAnsi="Times New Roman"/>
          <w:b w:val="false"/>
          <w:i w:val="false"/>
          <w:color w:val="000000"/>
          <w:sz w:val="24"/>
        </w:rPr>
        <w:t> </w:t>
      </w:r>
      <w:r>
        <w:rPr>
          <w:rFonts w:ascii="Times New Roman" w:hAnsi="Times New Roman"/>
          <w:b w:val="false"/>
          <w:i/>
          <w:color w:val="000000"/>
          <w:sz w:val="24"/>
        </w:rPr>
        <w:t xml:space="preserve">Processing the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receipt of the application and supporting documentation, the secretary shall review the application for timeliness, completeness and validity. This subrule does not impose a responsibility on the secretary to discover documents or evidence not included on the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secretary shall refer the written application to the board for review at the next regularly scheduled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beneficiary does not need to be in attendance at the board meeting. In order to comply with Title II of the Health Insurance Portability and Accountability Act of 1996 (HIPAA), specific information pertaining to an application for reimbursement or the member beneficiary’s disabling condition will not be discussed in open forum of the board meeting unless the member beneficiary is present and approves discussion in a public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board may approve or deny all or part of a reimbursement application. The board may request additional information to support the application for reimbursement or to determine the correlation of the expense to the disabling condition. The member beneficiary shall provide the documents to the secretary within a reasonable time period. In no case shall the application remain valid for a period of more than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board denies any part of a request for reimbursement, the member beneficiary may request judicial review in accordance with Iowa Code section </w:t>
      </w:r>
      <w:hyperlink r:id="rId8">
        <w:r>
          <w:rPr>
            <w:rStyle w:val="Hyperlink"/>
            <w:rFonts w:ascii="Times New Roman" w:hAnsi="Times New Roman"/>
            <w:b w:val="false"/>
            <w:i w:val="false"/>
            <w:color w:val="000000"/>
            <w:sz w:val="24"/>
          </w:rPr>
          <w:t>97A.6(13)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system will make reimbursements only to the member beneficiary or to the surviving spouse in the event the member beneficiary is deceased.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401.3(3)</w:t>
      </w:r>
      <w:r>
        <w:rPr>
          <w:rFonts w:ascii="Times New Roman" w:hAnsi="Times New Roman"/>
          <w:b w:val="false"/>
          <w:i w:val="false"/>
          <w:color w:val="000000"/>
          <w:sz w:val="24"/>
        </w:rPr>
        <w:t> </w:t>
      </w:r>
      <w:r>
        <w:rPr>
          <w:rFonts w:ascii="Times New Roman" w:hAnsi="Times New Roman"/>
          <w:b w:val="false"/>
          <w:i/>
          <w:color w:val="000000"/>
          <w:sz w:val="24"/>
        </w:rPr>
        <w:t xml:space="preserve">Other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Reimbursements for claimed expenses shall be reduced by any amount already received by the member beneficiary from workers’ compensation or from a third party as a result of subrogation proceedings entered into as a result of the disabling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the member beneficiary is restored to active service pursuant to Iowa Code section </w:t>
      </w:r>
      <w:hyperlink r:id="rId9">
        <w:r>
          <w:rPr>
            <w:rStyle w:val="Hyperlink"/>
            <w:rFonts w:ascii="Times New Roman" w:hAnsi="Times New Roman"/>
            <w:b w:val="false"/>
            <w:i w:val="false"/>
            <w:color w:val="000000"/>
            <w:sz w:val="24"/>
          </w:rPr>
          <w:t>97A.6(7)</w:t>
        </w:r>
      </w:hyperlink>
      <w:r>
        <w:rPr>
          <w:rFonts w:ascii="Times New Roman" w:hAnsi="Times New Roman"/>
          <w:b w:val="false"/>
          <w:i/>
          <w:color w:val="000000"/>
          <w:sz w:val="24"/>
        </w:rPr>
        <w:t>“b,”</w:t>
      </w:r>
      <w:r>
        <w:rPr>
          <w:rFonts w:ascii="Times New Roman" w:hAnsi="Times New Roman"/>
          <w:b w:val="false"/>
          <w:i w:val="false"/>
          <w:color w:val="000000"/>
          <w:sz w:val="24"/>
        </w:rPr>
        <w:t xml:space="preserve"> consideration of reimbursement for expenses pursuant to Iowa Code section </w:t>
      </w:r>
      <w:hyperlink r:id="rId10">
        <w:r>
          <w:rPr>
            <w:rStyle w:val="Hyperlink"/>
            <w:rFonts w:ascii="Times New Roman" w:hAnsi="Times New Roman"/>
            <w:b w:val="false"/>
            <w:i w:val="false"/>
            <w:color w:val="000000"/>
            <w:sz w:val="24"/>
          </w:rPr>
          <w:t>97A.14</w:t>
        </w:r>
      </w:hyperlink>
      <w:r>
        <w:rPr>
          <w:rFonts w:ascii="Times New Roman" w:hAnsi="Times New Roman"/>
          <w:b w:val="false"/>
          <w:i w:val="false"/>
          <w:color w:val="000000"/>
          <w:sz w:val="24"/>
        </w:rPr>
        <w:t xml:space="preserve"> shall not extend beyond the date of restoration to active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member beneficiary receiving a disability retirement pursuant to Iowa Code section </w:t>
      </w:r>
      <w:hyperlink r:id="rId11">
        <w:r>
          <w:rPr>
            <w:rStyle w:val="Hyperlink"/>
            <w:rFonts w:ascii="Times New Roman" w:hAnsi="Times New Roman"/>
            <w:b w:val="false"/>
            <w:i w:val="false"/>
            <w:color w:val="000000"/>
            <w:sz w:val="24"/>
          </w:rPr>
          <w:t>97A.6(6)</w:t>
        </w:r>
      </w:hyperlink>
      <w:r>
        <w:rPr>
          <w:rFonts w:ascii="Times New Roman" w:hAnsi="Times New Roman"/>
          <w:b w:val="false"/>
          <w:i w:val="false"/>
          <w:color w:val="000000"/>
          <w:sz w:val="24"/>
        </w:rPr>
        <w:t xml:space="preserve"> becomes employed in a public safety occupation pursuant to Iowa Code section </w:t>
      </w:r>
      <w:hyperlink r:id="rId12">
        <w:r>
          <w:rPr>
            <w:rStyle w:val="Hyperlink"/>
            <w:rFonts w:ascii="Times New Roman" w:hAnsi="Times New Roman"/>
            <w:b w:val="false"/>
            <w:i w:val="false"/>
            <w:color w:val="000000"/>
            <w:sz w:val="24"/>
          </w:rPr>
          <w:t>97A.6(7)</w:t>
        </w:r>
      </w:hyperlink>
      <w:r>
        <w:rPr>
          <w:rFonts w:ascii="Times New Roman" w:hAnsi="Times New Roman"/>
          <w:b w:val="false"/>
          <w:i/>
          <w:color w:val="000000"/>
          <w:sz w:val="24"/>
        </w:rPr>
        <w:t>“d,”</w:t>
      </w:r>
      <w:r>
        <w:rPr>
          <w:rFonts w:ascii="Times New Roman" w:hAnsi="Times New Roman"/>
          <w:b w:val="false"/>
          <w:i w:val="false"/>
          <w:color w:val="000000"/>
          <w:sz w:val="24"/>
        </w:rPr>
        <w:t xml:space="preserve"> consideration of reimbursement for expenses pursuant to Iowa Code section </w:t>
      </w:r>
      <w:hyperlink r:id="rId13">
        <w:r>
          <w:rPr>
            <w:rStyle w:val="Hyperlink"/>
            <w:rFonts w:ascii="Times New Roman" w:hAnsi="Times New Roman"/>
            <w:b w:val="false"/>
            <w:i w:val="false"/>
            <w:color w:val="000000"/>
            <w:sz w:val="24"/>
          </w:rPr>
          <w:t>97A.14</w:t>
        </w:r>
      </w:hyperlink>
      <w:r>
        <w:rPr>
          <w:rFonts w:ascii="Times New Roman" w:hAnsi="Times New Roman"/>
          <w:b w:val="false"/>
          <w:i w:val="false"/>
          <w:color w:val="000000"/>
          <w:sz w:val="24"/>
        </w:rPr>
        <w:t xml:space="preserve"> shall not extend beyond the date of employment with the employing jurisdiction.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4">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97A.pdf" Type="http://schemas.openxmlformats.org/officeDocument/2006/relationships/hyperlink" Id="rId5"/>
    <Relationship TargetMode="External" Target="https://www.legis.iowa.gov/docs/iac/rule/661.400.2.pdf" Type="http://schemas.openxmlformats.org/officeDocument/2006/relationships/hyperlink" Id="rId6"/>
    <Relationship TargetMode="External" Target="https://www.legis.iowa.gov/docs/ico/chapter/97A.6.pdf" Type="http://schemas.openxmlformats.org/officeDocument/2006/relationships/hyperlink" Id="rId7"/>
    <Relationship TargetMode="External" Target="https://www.legis.iowa.gov/docs/ico/chapter/97A.6.pdf" Type="http://schemas.openxmlformats.org/officeDocument/2006/relationships/hyperlink" Id="rId8"/>
    <Relationship TargetMode="External" Target="https://www.legis.iowa.gov/docs/ico/chapter/97A.6.pdf" Type="http://schemas.openxmlformats.org/officeDocument/2006/relationships/hyperlink" Id="rId9"/>
    <Relationship TargetMode="External" Target="https://www.legis.iowa.gov/docs/ico/chapter/97A.14.pdf" Type="http://schemas.openxmlformats.org/officeDocument/2006/relationships/hyperlink" Id="rId10"/>
    <Relationship TargetMode="External" Target="https://www.legis.iowa.gov/docs/ico/chapter/97A.6.pdf" Type="http://schemas.openxmlformats.org/officeDocument/2006/relationships/hyperlink" Id="rId11"/>
    <Relationship TargetMode="External" Target="https://www.legis.iowa.gov/docs/ico/chapter/97A.6.pdf" Type="http://schemas.openxmlformats.org/officeDocument/2006/relationships/hyperlink" Id="rId12"/>
    <Relationship TargetMode="External" Target="https://www.legis.iowa.gov/docs/ico/chapter/97A.14.pdf" Type="http://schemas.openxmlformats.org/officeDocument/2006/relationships/hyperlink" Id="rId13"/>
    <Relationship TargetMode="External" Target="https://www.legis.iowa.gov/docs/ico/chapter/97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